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C87" w:rsidRPr="00DA5602" w:rsidRDefault="00FF46BE" w:rsidP="00B6206B">
      <w:pPr>
        <w:spacing w:after="120" w:line="280" w:lineRule="exact"/>
        <w:ind w:right="159"/>
        <w:jc w:val="center"/>
        <w:rPr>
          <w:b/>
          <w:i/>
          <w:sz w:val="24"/>
          <w:szCs w:val="24"/>
        </w:rPr>
      </w:pPr>
      <w:r w:rsidRPr="00DA5602">
        <w:rPr>
          <w:b/>
          <w:i/>
          <w:sz w:val="24"/>
          <w:szCs w:val="24"/>
        </w:rPr>
        <w:t>Pressestimmen</w:t>
      </w:r>
    </w:p>
    <w:p w:rsidR="00DA5602" w:rsidRDefault="00DA5602" w:rsidP="00B6206B">
      <w:pPr>
        <w:spacing w:after="120" w:line="280" w:lineRule="exact"/>
        <w:ind w:right="159"/>
        <w:jc w:val="center"/>
        <w:rPr>
          <w:b/>
          <w:i/>
          <w:sz w:val="22"/>
          <w:szCs w:val="22"/>
        </w:rPr>
      </w:pPr>
    </w:p>
    <w:p w:rsidR="007C7771" w:rsidRDefault="00330C87" w:rsidP="007C7771">
      <w:pPr>
        <w:pStyle w:val="Textkrper"/>
        <w:spacing w:after="120" w:line="280" w:lineRule="exact"/>
        <w:ind w:right="159"/>
        <w:jc w:val="both"/>
        <w:rPr>
          <w:rFonts w:ascii="Times New Roman" w:hAnsi="Times New Roman"/>
          <w:b w:val="0"/>
          <w:sz w:val="19"/>
          <w:szCs w:val="19"/>
        </w:rPr>
      </w:pPr>
      <w:r w:rsidRPr="00B564E3">
        <w:rPr>
          <w:sz w:val="19"/>
          <w:szCs w:val="19"/>
        </w:rPr>
        <w:t>„</w:t>
      </w:r>
      <w:r w:rsidRPr="00B564E3">
        <w:rPr>
          <w:rFonts w:ascii="Times New Roman" w:hAnsi="Times New Roman"/>
          <w:sz w:val="19"/>
          <w:szCs w:val="19"/>
        </w:rPr>
        <w:t>Selten treffen drei wichtige Tatbestände für ein lesenswertes Buch so glücklich zusammen wie bei dem hier vorzustellendem Werk von Holger Breit</w:t>
      </w:r>
      <w:r w:rsidRPr="00B564E3">
        <w:rPr>
          <w:rFonts w:ascii="Times New Roman" w:hAnsi="Times New Roman"/>
          <w:b w:val="0"/>
          <w:sz w:val="19"/>
          <w:szCs w:val="19"/>
        </w:rPr>
        <w:t xml:space="preserve">: Es ist mit ausgewiesener Wissenschaftlichkeit geschrieben, nämlich als Frucht einer Doktorarbeit und damit über einseitige Polemik erhaben; es ist in einem </w:t>
      </w:r>
      <w:r w:rsidR="00035CC9" w:rsidRPr="00B564E3">
        <w:rPr>
          <w:rFonts w:ascii="Times New Roman" w:hAnsi="Times New Roman"/>
          <w:b w:val="0"/>
          <w:sz w:val="19"/>
          <w:szCs w:val="19"/>
        </w:rPr>
        <w:t>lesefreundlichen Deutsch abgefass</w:t>
      </w:r>
      <w:r w:rsidRPr="00B564E3">
        <w:rPr>
          <w:rFonts w:ascii="Times New Roman" w:hAnsi="Times New Roman"/>
          <w:b w:val="0"/>
          <w:sz w:val="19"/>
          <w:szCs w:val="19"/>
        </w:rPr>
        <w:t>t und in vier übersichtliche Kapitel gegliedert; und es ist schließlich mit seinem Erscheinungsdatum 1999 so aktuell wie es nur irgendwie geht. Wiederum Ergebnis seiner Qualität und zugleich Vorzug seiner Lektüre</w:t>
      </w:r>
      <w:r w:rsidR="009A3573" w:rsidRPr="00B564E3">
        <w:rPr>
          <w:rFonts w:ascii="Times New Roman" w:hAnsi="Times New Roman"/>
          <w:b w:val="0"/>
          <w:sz w:val="19"/>
          <w:szCs w:val="19"/>
        </w:rPr>
        <w:t xml:space="preserve"> ..</w:t>
      </w:r>
      <w:r w:rsidRPr="00B564E3">
        <w:rPr>
          <w:rFonts w:ascii="Times New Roman" w:hAnsi="Times New Roman"/>
          <w:b w:val="0"/>
          <w:sz w:val="19"/>
          <w:szCs w:val="19"/>
        </w:rPr>
        <w:t>.“</w:t>
      </w:r>
      <w:r w:rsidR="005D35DA" w:rsidRPr="00B564E3">
        <w:rPr>
          <w:rFonts w:ascii="Times New Roman" w:hAnsi="Times New Roman"/>
          <w:b w:val="0"/>
          <w:sz w:val="19"/>
          <w:szCs w:val="19"/>
        </w:rPr>
        <w:t xml:space="preserve"> </w:t>
      </w:r>
    </w:p>
    <w:p w:rsidR="009E05D1" w:rsidRPr="00B564E3" w:rsidRDefault="00330C87" w:rsidP="007C7771">
      <w:pPr>
        <w:pStyle w:val="Textkrper"/>
        <w:spacing w:after="60" w:line="280" w:lineRule="exact"/>
        <w:ind w:right="159"/>
        <w:jc w:val="both"/>
        <w:rPr>
          <w:rFonts w:ascii="Times New Roman" w:hAnsi="Times New Roman"/>
          <w:sz w:val="19"/>
          <w:szCs w:val="19"/>
        </w:rPr>
      </w:pPr>
      <w:r w:rsidRPr="00B564E3">
        <w:rPr>
          <w:rFonts w:ascii="Times New Roman" w:hAnsi="Times New Roman"/>
          <w:sz w:val="19"/>
          <w:szCs w:val="19"/>
        </w:rPr>
        <w:t>Das</w:t>
      </w:r>
      <w:r w:rsidRPr="00B564E3">
        <w:rPr>
          <w:rFonts w:ascii="Times New Roman" w:hAnsi="Times New Roman"/>
          <w:b w:val="0"/>
          <w:sz w:val="19"/>
          <w:szCs w:val="19"/>
        </w:rPr>
        <w:t xml:space="preserve"> </w:t>
      </w:r>
      <w:r w:rsidRPr="00B564E3">
        <w:rPr>
          <w:rFonts w:ascii="Times New Roman" w:hAnsi="Times New Roman"/>
          <w:sz w:val="19"/>
          <w:szCs w:val="19"/>
        </w:rPr>
        <w:t xml:space="preserve">erste große Kapitel des Buches </w:t>
      </w:r>
      <w:r w:rsidRPr="00B564E3">
        <w:rPr>
          <w:rFonts w:ascii="Times New Roman" w:hAnsi="Times New Roman"/>
          <w:b w:val="0"/>
          <w:sz w:val="19"/>
          <w:szCs w:val="19"/>
        </w:rPr>
        <w:t xml:space="preserve">behandelt den </w:t>
      </w:r>
      <w:r w:rsidR="00035CC9" w:rsidRPr="00B564E3">
        <w:rPr>
          <w:rFonts w:ascii="Times New Roman" w:hAnsi="Times New Roman"/>
          <w:sz w:val="19"/>
          <w:szCs w:val="19"/>
        </w:rPr>
        <w:t>„Abriss</w:t>
      </w:r>
      <w:r w:rsidRPr="00B564E3">
        <w:rPr>
          <w:rFonts w:ascii="Times New Roman" w:hAnsi="Times New Roman"/>
          <w:sz w:val="19"/>
          <w:szCs w:val="19"/>
        </w:rPr>
        <w:t xml:space="preserve"> der Geschichte Schlesiens bis zum Ende des Zweiten Weltkrieges“. </w:t>
      </w:r>
      <w:r w:rsidRPr="00B564E3">
        <w:rPr>
          <w:rFonts w:ascii="Times New Roman" w:hAnsi="Times New Roman"/>
          <w:b w:val="0"/>
          <w:sz w:val="19"/>
          <w:szCs w:val="19"/>
        </w:rPr>
        <w:t>Der Leser darf bei d</w:t>
      </w:r>
      <w:r w:rsidR="00035CC9" w:rsidRPr="00B564E3">
        <w:rPr>
          <w:rFonts w:ascii="Times New Roman" w:hAnsi="Times New Roman"/>
          <w:b w:val="0"/>
          <w:sz w:val="19"/>
          <w:szCs w:val="19"/>
        </w:rPr>
        <w:t>er Lektüre die beruhigende Gewissheit haben, dass</w:t>
      </w:r>
      <w:r w:rsidRPr="00B564E3">
        <w:rPr>
          <w:rFonts w:ascii="Times New Roman" w:hAnsi="Times New Roman"/>
          <w:b w:val="0"/>
          <w:sz w:val="19"/>
          <w:szCs w:val="19"/>
        </w:rPr>
        <w:t xml:space="preserve"> ihm die Geschichte verge</w:t>
      </w:r>
      <w:r w:rsidR="00A76B0E" w:rsidRPr="00B564E3">
        <w:rPr>
          <w:rFonts w:ascii="Times New Roman" w:hAnsi="Times New Roman"/>
          <w:b w:val="0"/>
          <w:sz w:val="19"/>
          <w:szCs w:val="19"/>
        </w:rPr>
        <w:t>-</w:t>
      </w:r>
      <w:r w:rsidRPr="00B564E3">
        <w:rPr>
          <w:rFonts w:ascii="Times New Roman" w:hAnsi="Times New Roman"/>
          <w:b w:val="0"/>
          <w:sz w:val="19"/>
          <w:szCs w:val="19"/>
        </w:rPr>
        <w:t xml:space="preserve">genwärtigt wird, wie sie wirklich war; nicht geschönt und nicht dämonisiert, auch nicht „ausgewählt“ oder reduziert auf beliebige Epochen ... Vielmehr hält der Autor mit dem Titel seines Buches Wort und beschäftigt sich mit Geschichte und Schicksal der </w:t>
      </w:r>
      <w:r w:rsidR="009B7E10" w:rsidRPr="00B564E3">
        <w:rPr>
          <w:rFonts w:ascii="Times New Roman" w:hAnsi="Times New Roman"/>
          <w:b w:val="0"/>
          <w:sz w:val="19"/>
          <w:szCs w:val="19"/>
        </w:rPr>
        <w:t>D</w:t>
      </w:r>
      <w:r w:rsidR="002E32BB" w:rsidRPr="00B564E3">
        <w:rPr>
          <w:rFonts w:ascii="Times New Roman" w:hAnsi="Times New Roman"/>
          <w:b w:val="0"/>
          <w:sz w:val="19"/>
          <w:szCs w:val="19"/>
        </w:rPr>
        <w:t>eutschen in Oberschlesien –</w:t>
      </w:r>
      <w:r w:rsidR="00377953" w:rsidRPr="00B564E3">
        <w:rPr>
          <w:rFonts w:ascii="Times New Roman" w:hAnsi="Times New Roman"/>
          <w:b w:val="0"/>
          <w:sz w:val="19"/>
          <w:szCs w:val="19"/>
        </w:rPr>
        <w:t xml:space="preserve"> </w:t>
      </w:r>
      <w:r w:rsidR="002E32BB" w:rsidRPr="00B564E3">
        <w:rPr>
          <w:rFonts w:ascii="Times New Roman" w:hAnsi="Times New Roman"/>
          <w:sz w:val="19"/>
          <w:szCs w:val="19"/>
        </w:rPr>
        <w:t xml:space="preserve">Alles </w:t>
      </w:r>
      <w:r w:rsidR="00377953" w:rsidRPr="00B564E3">
        <w:rPr>
          <w:rFonts w:ascii="Times New Roman" w:hAnsi="Times New Roman"/>
          <w:sz w:val="19"/>
          <w:szCs w:val="19"/>
        </w:rPr>
        <w:t xml:space="preserve">leicht verständlich </w:t>
      </w:r>
      <w:r w:rsidRPr="00B564E3">
        <w:rPr>
          <w:rFonts w:ascii="Times New Roman" w:hAnsi="Times New Roman"/>
          <w:sz w:val="19"/>
          <w:szCs w:val="19"/>
        </w:rPr>
        <w:t>nachzulesen</w:t>
      </w:r>
      <w:r w:rsidR="002E32BB" w:rsidRPr="00B564E3">
        <w:rPr>
          <w:rFonts w:ascii="Times New Roman" w:hAnsi="Times New Roman"/>
          <w:sz w:val="19"/>
          <w:szCs w:val="19"/>
        </w:rPr>
        <w:t xml:space="preserve">. </w:t>
      </w:r>
    </w:p>
    <w:p w:rsidR="00330C87" w:rsidRPr="00B564E3" w:rsidRDefault="00330C87" w:rsidP="007C7771">
      <w:pPr>
        <w:pStyle w:val="Textkrper"/>
        <w:spacing w:after="240" w:line="280" w:lineRule="exact"/>
        <w:ind w:right="159"/>
        <w:jc w:val="both"/>
        <w:rPr>
          <w:rFonts w:ascii="Times New Roman" w:hAnsi="Times New Roman"/>
          <w:b w:val="0"/>
          <w:sz w:val="19"/>
          <w:szCs w:val="19"/>
        </w:rPr>
      </w:pPr>
      <w:r w:rsidRPr="00B564E3">
        <w:rPr>
          <w:rFonts w:ascii="Times New Roman" w:hAnsi="Times New Roman"/>
          <w:b w:val="0"/>
          <w:i/>
          <w:sz w:val="19"/>
          <w:szCs w:val="19"/>
        </w:rPr>
        <w:t>(Dr. Schickel, Zeitgeschichtliche Forschungsstelle Ingolstadt)</w:t>
      </w:r>
    </w:p>
    <w:p w:rsidR="00DA5602" w:rsidRDefault="00330C87" w:rsidP="00DA5602">
      <w:pPr>
        <w:spacing w:after="60" w:line="280" w:lineRule="exact"/>
        <w:ind w:right="159"/>
        <w:jc w:val="both"/>
        <w:rPr>
          <w:sz w:val="19"/>
          <w:szCs w:val="19"/>
        </w:rPr>
      </w:pPr>
      <w:r w:rsidRPr="00B564E3">
        <w:rPr>
          <w:b/>
          <w:sz w:val="19"/>
          <w:szCs w:val="19"/>
        </w:rPr>
        <w:t>„Im zweiten Kapitel</w:t>
      </w:r>
      <w:r w:rsidRPr="00B564E3">
        <w:rPr>
          <w:sz w:val="19"/>
          <w:szCs w:val="19"/>
        </w:rPr>
        <w:t xml:space="preserve"> beschreibt der Autor die </w:t>
      </w:r>
      <w:r w:rsidRPr="00B564E3">
        <w:rPr>
          <w:b/>
          <w:sz w:val="19"/>
          <w:szCs w:val="19"/>
        </w:rPr>
        <w:t>Situation der Deutschen unter polnisch-kommunistischer Herrschaft</w:t>
      </w:r>
      <w:r w:rsidRPr="00B564E3">
        <w:rPr>
          <w:sz w:val="19"/>
          <w:szCs w:val="19"/>
        </w:rPr>
        <w:t>. Er beginnt mit der völkerrechtswidrigen Annexion Schlesiens 1945 und der brutalen Vertreibung der Mehrheit der deutschen Bevölkerung und erläutert, da</w:t>
      </w:r>
      <w:r w:rsidR="007F054C" w:rsidRPr="00B564E3">
        <w:rPr>
          <w:sz w:val="19"/>
          <w:szCs w:val="19"/>
        </w:rPr>
        <w:t xml:space="preserve">ss </w:t>
      </w:r>
      <w:r w:rsidRPr="00B564E3">
        <w:rPr>
          <w:sz w:val="19"/>
          <w:szCs w:val="19"/>
        </w:rPr>
        <w:t>dies lange vor Ausbruch des Zweiten Weltkrieges geplant war und sich anhand von Dokumenten bis in das späte 19.</w:t>
      </w:r>
      <w:r w:rsidR="007F054C" w:rsidRPr="00B564E3">
        <w:rPr>
          <w:sz w:val="19"/>
          <w:szCs w:val="19"/>
        </w:rPr>
        <w:t xml:space="preserve"> Jahrhundert zurückverfolgen läss</w:t>
      </w:r>
      <w:r w:rsidRPr="00B564E3">
        <w:rPr>
          <w:sz w:val="19"/>
          <w:szCs w:val="19"/>
        </w:rPr>
        <w:t>t. Anschlie</w:t>
      </w:r>
      <w:r w:rsidR="007F054C" w:rsidRPr="00B564E3">
        <w:rPr>
          <w:sz w:val="19"/>
          <w:szCs w:val="19"/>
        </w:rPr>
        <w:t>ß</w:t>
      </w:r>
      <w:r w:rsidRPr="00B564E3">
        <w:rPr>
          <w:sz w:val="19"/>
          <w:szCs w:val="19"/>
        </w:rPr>
        <w:t xml:space="preserve">end geht er auf die </w:t>
      </w:r>
      <w:r w:rsidRPr="00B564E3">
        <w:rPr>
          <w:b/>
          <w:sz w:val="19"/>
          <w:szCs w:val="19"/>
        </w:rPr>
        <w:t xml:space="preserve">politischen und rechtlichen Rahmenbedingungen in der Volksrepublik Polen </w:t>
      </w:r>
      <w:r w:rsidRPr="00B564E3">
        <w:rPr>
          <w:sz w:val="19"/>
          <w:szCs w:val="19"/>
        </w:rPr>
        <w:t>ein und behandelt ausführ</w:t>
      </w:r>
      <w:r w:rsidR="007F054C" w:rsidRPr="00B564E3">
        <w:rPr>
          <w:sz w:val="19"/>
          <w:szCs w:val="19"/>
        </w:rPr>
        <w:t>-</w:t>
      </w:r>
      <w:r w:rsidRPr="00B564E3">
        <w:rPr>
          <w:sz w:val="19"/>
          <w:szCs w:val="19"/>
        </w:rPr>
        <w:t xml:space="preserve">lich die </w:t>
      </w:r>
      <w:r w:rsidRPr="00B564E3">
        <w:rPr>
          <w:b/>
          <w:sz w:val="19"/>
          <w:szCs w:val="19"/>
        </w:rPr>
        <w:t>schwerwiegenden Menschenrechtsverletzungen</w:t>
      </w:r>
      <w:r w:rsidRPr="00B564E3">
        <w:rPr>
          <w:sz w:val="19"/>
          <w:szCs w:val="19"/>
        </w:rPr>
        <w:t xml:space="preserve">, denen die verbliebenen Deutschen als Einzelpersonen und als Volksgruppe auf vielen Gebieten des täglichen Lebens ausgesetzt waren. </w:t>
      </w:r>
      <w:r w:rsidRPr="00B564E3">
        <w:rPr>
          <w:b/>
          <w:sz w:val="19"/>
          <w:szCs w:val="19"/>
        </w:rPr>
        <w:t>Diese Verstöße werden objektiv und sachlich dargestellt und vom Standpunkt des internationalen Rechts aus bewertet.“</w:t>
      </w:r>
      <w:r w:rsidRPr="00B564E3">
        <w:rPr>
          <w:sz w:val="19"/>
          <w:szCs w:val="19"/>
        </w:rPr>
        <w:t xml:space="preserve"> </w:t>
      </w:r>
    </w:p>
    <w:p w:rsidR="00DA5602" w:rsidRDefault="00330C87" w:rsidP="007C7771">
      <w:pPr>
        <w:spacing w:after="240" w:line="280" w:lineRule="exact"/>
        <w:ind w:right="159"/>
        <w:jc w:val="both"/>
        <w:rPr>
          <w:sz w:val="19"/>
          <w:szCs w:val="19"/>
        </w:rPr>
      </w:pPr>
      <w:r w:rsidRPr="00B564E3">
        <w:rPr>
          <w:sz w:val="19"/>
          <w:szCs w:val="19"/>
        </w:rPr>
        <w:t>(</w:t>
      </w:r>
      <w:r w:rsidRPr="00B564E3">
        <w:rPr>
          <w:i/>
          <w:sz w:val="19"/>
          <w:szCs w:val="19"/>
        </w:rPr>
        <w:t>Der Schlesier</w:t>
      </w:r>
      <w:r w:rsidRPr="00B564E3">
        <w:rPr>
          <w:sz w:val="19"/>
          <w:szCs w:val="19"/>
        </w:rPr>
        <w:t xml:space="preserve">) </w:t>
      </w:r>
    </w:p>
    <w:p w:rsidR="00DA5602" w:rsidRDefault="00330C87" w:rsidP="00DA5602">
      <w:pPr>
        <w:spacing w:after="60" w:line="280" w:lineRule="exact"/>
        <w:ind w:right="159"/>
        <w:jc w:val="both"/>
        <w:rPr>
          <w:b/>
          <w:sz w:val="19"/>
          <w:szCs w:val="19"/>
        </w:rPr>
      </w:pPr>
      <w:r w:rsidRPr="00B564E3">
        <w:rPr>
          <w:b/>
          <w:sz w:val="19"/>
          <w:szCs w:val="19"/>
        </w:rPr>
        <w:t>„Herausragende wissenschaftliche Bedeutung gewinnt das Buch im dritten Kapitel</w:t>
      </w:r>
      <w:r w:rsidRPr="00B564E3">
        <w:rPr>
          <w:sz w:val="19"/>
          <w:szCs w:val="19"/>
        </w:rPr>
        <w:t xml:space="preserve">. Holger Breit stellt </w:t>
      </w:r>
      <w:r w:rsidR="009A3573" w:rsidRPr="00B564E3">
        <w:rPr>
          <w:sz w:val="19"/>
          <w:szCs w:val="19"/>
        </w:rPr>
        <w:br/>
      </w:r>
      <w:r w:rsidRPr="00B564E3">
        <w:rPr>
          <w:sz w:val="19"/>
          <w:szCs w:val="19"/>
        </w:rPr>
        <w:t xml:space="preserve">dort erstmals ausführlich und auf der Basis bisher unveröffentlichter Dokumente das Ringen der deutschen Minderheit in Oberschlesien um Anerkennung ihrer Verbände dar ... </w:t>
      </w:r>
      <w:r w:rsidRPr="00B564E3">
        <w:rPr>
          <w:b/>
          <w:sz w:val="19"/>
          <w:szCs w:val="19"/>
        </w:rPr>
        <w:t xml:space="preserve">Insbesondere diesem Teil gebührt besondere ... </w:t>
      </w:r>
      <w:r w:rsidR="00B036DA" w:rsidRPr="00B564E3">
        <w:rPr>
          <w:b/>
          <w:sz w:val="19"/>
          <w:szCs w:val="19"/>
        </w:rPr>
        <w:t>Aufmerk</w:t>
      </w:r>
      <w:r w:rsidR="00DA5602">
        <w:rPr>
          <w:b/>
          <w:sz w:val="19"/>
          <w:szCs w:val="19"/>
        </w:rPr>
        <w:t>-</w:t>
      </w:r>
      <w:r w:rsidR="00B036DA" w:rsidRPr="00B564E3">
        <w:rPr>
          <w:b/>
          <w:sz w:val="19"/>
          <w:szCs w:val="19"/>
        </w:rPr>
        <w:t>samkeit, da der Autor an</w:t>
      </w:r>
      <w:r w:rsidRPr="00B564E3">
        <w:rPr>
          <w:b/>
          <w:sz w:val="19"/>
          <w:szCs w:val="19"/>
        </w:rPr>
        <w:t xml:space="preserve"> dieser Stelle dazu beiträgt,</w:t>
      </w:r>
      <w:r w:rsidR="00A76B0E" w:rsidRPr="00B564E3">
        <w:rPr>
          <w:b/>
          <w:sz w:val="19"/>
          <w:szCs w:val="19"/>
        </w:rPr>
        <w:t xml:space="preserve"> bestehende Forschungslücken zu </w:t>
      </w:r>
      <w:r w:rsidR="009A3573" w:rsidRPr="00B564E3">
        <w:rPr>
          <w:b/>
          <w:sz w:val="19"/>
          <w:szCs w:val="19"/>
        </w:rPr>
        <w:t>schlie</w:t>
      </w:r>
      <w:r w:rsidR="007F054C" w:rsidRPr="00B564E3">
        <w:rPr>
          <w:b/>
          <w:sz w:val="19"/>
          <w:szCs w:val="19"/>
        </w:rPr>
        <w:t>ß</w:t>
      </w:r>
      <w:r w:rsidR="009A3573" w:rsidRPr="00B564E3">
        <w:rPr>
          <w:b/>
          <w:sz w:val="19"/>
          <w:szCs w:val="19"/>
        </w:rPr>
        <w:t xml:space="preserve">en …“ </w:t>
      </w:r>
    </w:p>
    <w:p w:rsidR="00330C87" w:rsidRPr="00B564E3" w:rsidRDefault="00330C87" w:rsidP="007C7771">
      <w:pPr>
        <w:spacing w:after="240" w:line="280" w:lineRule="exact"/>
        <w:ind w:right="159"/>
        <w:jc w:val="both"/>
        <w:rPr>
          <w:sz w:val="19"/>
          <w:szCs w:val="19"/>
        </w:rPr>
      </w:pPr>
      <w:r w:rsidRPr="00B564E3">
        <w:rPr>
          <w:sz w:val="19"/>
          <w:szCs w:val="19"/>
        </w:rPr>
        <w:t>(</w:t>
      </w:r>
      <w:r w:rsidRPr="00B564E3">
        <w:rPr>
          <w:i/>
          <w:sz w:val="19"/>
          <w:szCs w:val="19"/>
        </w:rPr>
        <w:t>Deutscher Ostdienst</w:t>
      </w:r>
      <w:r w:rsidRPr="00B564E3">
        <w:rPr>
          <w:sz w:val="19"/>
          <w:szCs w:val="19"/>
        </w:rPr>
        <w:t xml:space="preserve">) </w:t>
      </w:r>
    </w:p>
    <w:p w:rsidR="007C7771" w:rsidRDefault="00A0374E" w:rsidP="007C7771">
      <w:pPr>
        <w:pStyle w:val="Blocktext"/>
        <w:spacing w:line="280" w:lineRule="exact"/>
        <w:ind w:left="0"/>
        <w:rPr>
          <w:sz w:val="19"/>
          <w:szCs w:val="19"/>
        </w:rPr>
      </w:pPr>
      <w:r w:rsidRPr="00B564E3">
        <w:rPr>
          <w:sz w:val="19"/>
          <w:szCs w:val="19"/>
        </w:rPr>
        <w:t xml:space="preserve">In </w:t>
      </w:r>
      <w:r w:rsidR="00330C87" w:rsidRPr="00B564E3">
        <w:rPr>
          <w:b/>
          <w:sz w:val="19"/>
          <w:szCs w:val="19"/>
        </w:rPr>
        <w:t>Kapitel</w:t>
      </w:r>
      <w:r w:rsidR="00330C87" w:rsidRPr="00B564E3">
        <w:rPr>
          <w:sz w:val="19"/>
          <w:szCs w:val="19"/>
        </w:rPr>
        <w:t xml:space="preserve"> </w:t>
      </w:r>
      <w:r w:rsidR="009E05D1" w:rsidRPr="00B564E3">
        <w:rPr>
          <w:b/>
          <w:sz w:val="19"/>
          <w:szCs w:val="19"/>
        </w:rPr>
        <w:t>IV</w:t>
      </w:r>
      <w:r w:rsidR="009E05D1" w:rsidRPr="00B564E3">
        <w:rPr>
          <w:sz w:val="19"/>
          <w:szCs w:val="19"/>
        </w:rPr>
        <w:t xml:space="preserve"> </w:t>
      </w:r>
      <w:r w:rsidRPr="00B564E3">
        <w:rPr>
          <w:sz w:val="19"/>
          <w:szCs w:val="19"/>
        </w:rPr>
        <w:t xml:space="preserve">werden die </w:t>
      </w:r>
      <w:r w:rsidR="00330C87" w:rsidRPr="00B564E3">
        <w:rPr>
          <w:sz w:val="19"/>
          <w:szCs w:val="19"/>
        </w:rPr>
        <w:t>verstärkten Aktivitäten der Deutschen in Oberschlesien und die Entwicklung der deutsch-polnischen Beziehungen zwischen 1989 und 1998</w:t>
      </w:r>
      <w:r w:rsidRPr="00B564E3">
        <w:rPr>
          <w:sz w:val="19"/>
          <w:szCs w:val="19"/>
        </w:rPr>
        <w:t xml:space="preserve"> beschrieben. </w:t>
      </w:r>
      <w:r w:rsidR="00330C87" w:rsidRPr="00B564E3">
        <w:rPr>
          <w:sz w:val="19"/>
          <w:szCs w:val="19"/>
        </w:rPr>
        <w:t>Ausführlich wird auf den politischen Umbruch im Land und den folgenden Besuch von Bundeskanzler Kohl im November 1989 eingegangen. Als Folge der dabei unterzeichneten „Gemeinsame Erklärung“ konnten deutsche Organisationen nunmehr nach und nach</w:t>
      </w:r>
      <w:r w:rsidR="00BE714A" w:rsidRPr="00B564E3">
        <w:rPr>
          <w:sz w:val="19"/>
          <w:szCs w:val="19"/>
        </w:rPr>
        <w:t xml:space="preserve"> amtlich registriert werden ...“</w:t>
      </w:r>
      <w:r w:rsidR="009A421F" w:rsidRPr="00B564E3">
        <w:rPr>
          <w:sz w:val="19"/>
          <w:szCs w:val="19"/>
        </w:rPr>
        <w:t xml:space="preserve"> </w:t>
      </w:r>
      <w:r w:rsidR="00330C87" w:rsidRPr="00B564E3">
        <w:rPr>
          <w:sz w:val="19"/>
          <w:szCs w:val="19"/>
        </w:rPr>
        <w:t>Abschließend bleibt festzustellen, da</w:t>
      </w:r>
      <w:r w:rsidR="007F054C" w:rsidRPr="00B564E3">
        <w:rPr>
          <w:sz w:val="19"/>
          <w:szCs w:val="19"/>
        </w:rPr>
        <w:t>ss</w:t>
      </w:r>
      <w:r w:rsidR="00330C87" w:rsidRPr="00B564E3">
        <w:rPr>
          <w:sz w:val="19"/>
          <w:szCs w:val="19"/>
        </w:rPr>
        <w:t xml:space="preserve"> die Arbeit, </w:t>
      </w:r>
      <w:r w:rsidR="00330C87" w:rsidRPr="00B564E3">
        <w:rPr>
          <w:b/>
          <w:sz w:val="19"/>
          <w:szCs w:val="19"/>
        </w:rPr>
        <w:t>obwohl nach wiss</w:t>
      </w:r>
      <w:r w:rsidR="007F054C" w:rsidRPr="00B564E3">
        <w:rPr>
          <w:b/>
          <w:sz w:val="19"/>
          <w:szCs w:val="19"/>
        </w:rPr>
        <w:t>enschaftlichen Kriterien abgefass</w:t>
      </w:r>
      <w:r w:rsidR="00330C87" w:rsidRPr="00B564E3">
        <w:rPr>
          <w:b/>
          <w:sz w:val="19"/>
          <w:szCs w:val="19"/>
        </w:rPr>
        <w:t>t, auf Fachjargon verzichtet und in gut lesbarer, flüssiger Sprache geschrieben ist</w:t>
      </w:r>
      <w:r w:rsidR="00330C87" w:rsidRPr="00B564E3">
        <w:rPr>
          <w:sz w:val="19"/>
          <w:szCs w:val="19"/>
        </w:rPr>
        <w:t>. Wer sich für das Schicksal der Deutschen in Oberschlesien, insbesondere in der Zeit nach dem Zweiten Weltkrieg, für ihr mühs</w:t>
      </w:r>
      <w:r w:rsidR="00377953" w:rsidRPr="00B564E3">
        <w:rPr>
          <w:sz w:val="19"/>
          <w:szCs w:val="19"/>
        </w:rPr>
        <w:t xml:space="preserve">eliges Ringen und ihren Kampf </w:t>
      </w:r>
      <w:r w:rsidR="00330C87" w:rsidRPr="00B564E3">
        <w:rPr>
          <w:sz w:val="19"/>
          <w:szCs w:val="19"/>
        </w:rPr>
        <w:t xml:space="preserve">um Anerkennung als deutsche Volksgruppe, interessiert, </w:t>
      </w:r>
      <w:r w:rsidR="00330C87" w:rsidRPr="00B564E3">
        <w:rPr>
          <w:b/>
          <w:sz w:val="19"/>
          <w:szCs w:val="19"/>
        </w:rPr>
        <w:t>wird an diesem Buch nicht vorbeikommen.</w:t>
      </w:r>
      <w:r w:rsidR="00330C87" w:rsidRPr="00B564E3">
        <w:rPr>
          <w:sz w:val="19"/>
          <w:szCs w:val="19"/>
        </w:rPr>
        <w:t xml:space="preserve">“ </w:t>
      </w:r>
    </w:p>
    <w:p w:rsidR="00A174A4" w:rsidRPr="00B564E3" w:rsidRDefault="00330C87" w:rsidP="007C7771">
      <w:pPr>
        <w:pStyle w:val="Blocktext"/>
        <w:spacing w:after="240" w:line="280" w:lineRule="exact"/>
        <w:ind w:left="0"/>
        <w:rPr>
          <w:sz w:val="19"/>
          <w:szCs w:val="19"/>
        </w:rPr>
      </w:pPr>
      <w:r w:rsidRPr="00B564E3">
        <w:rPr>
          <w:sz w:val="19"/>
          <w:szCs w:val="19"/>
        </w:rPr>
        <w:t>(</w:t>
      </w:r>
      <w:r w:rsidRPr="00B564E3">
        <w:rPr>
          <w:i/>
          <w:iCs/>
          <w:sz w:val="19"/>
          <w:szCs w:val="19"/>
        </w:rPr>
        <w:t>Junge Freiheit</w:t>
      </w:r>
      <w:r w:rsidRPr="00B564E3">
        <w:rPr>
          <w:sz w:val="19"/>
          <w:szCs w:val="19"/>
        </w:rPr>
        <w:t>)</w:t>
      </w:r>
    </w:p>
    <w:p w:rsidR="00543BEF" w:rsidRDefault="007C7771" w:rsidP="00DA5602">
      <w:pPr>
        <w:spacing w:after="120" w:line="280" w:lineRule="exact"/>
        <w:jc w:val="both"/>
      </w:pPr>
      <w:r>
        <w:t>„</w:t>
      </w:r>
      <w:r w:rsidR="00543BEF">
        <w:t>Das vorliegende Werk erschien erstmals 1998 als erweiterte Version einer vom Autor an der Ludwig-Maxi-milians-Universität zu München vorgelegten Dissertation. Im Jahr darauf kam bereits die zweite Auflage heraus. Die hier anzuzeigende dritte Auflage hat Breit gründlich überarbeitet und die Geschehnisse bis ins Jahr 2915 fortgeschrieben. In fünf großen Kapiteln behandelt er die Geschichte Schlesiens bis 1945, das Leben der Deutschen unter kommunistischer Herrschaft, den Aufbau einer Organisation der deutschen Volksgruppe, die politischen Aktivitäten der Deutschen im polnischen Machtbereich und die Entwicklung der politischen, wirtschaftlichen und kulturell</w:t>
      </w:r>
      <w:r>
        <w:t>en Lage bis in die Gegenwart.</w:t>
      </w:r>
    </w:p>
    <w:p w:rsidR="00543BEF" w:rsidRDefault="00543BEF" w:rsidP="00B92962">
      <w:pPr>
        <w:spacing w:after="120" w:line="280" w:lineRule="exact"/>
        <w:ind w:firstLine="284"/>
        <w:jc w:val="both"/>
      </w:pPr>
      <w:r>
        <w:lastRenderedPageBreak/>
        <w:t xml:space="preserve">Ein </w:t>
      </w:r>
      <w:r w:rsidRPr="00DA5602">
        <w:rPr>
          <w:b/>
        </w:rPr>
        <w:t>üppiger Anhang</w:t>
      </w:r>
      <w:r>
        <w:t xml:space="preserve"> </w:t>
      </w:r>
      <w:r w:rsidRPr="007C7771">
        <w:rPr>
          <w:b/>
        </w:rPr>
        <w:t>versammelt ausgewählte Dokumente, Karten sowie ein ausführliches Quellen- und Literaturverzeichnis und eine 13-seitige Zeittafel</w:t>
      </w:r>
      <w:r>
        <w:t xml:space="preserve">. In einem umfangreichen </w:t>
      </w:r>
      <w:r w:rsidRPr="00DA5602">
        <w:rPr>
          <w:b/>
        </w:rPr>
        <w:t>Geleitwort</w:t>
      </w:r>
      <w:r>
        <w:t xml:space="preserve"> </w:t>
      </w:r>
      <w:r w:rsidRPr="00DA5602">
        <w:rPr>
          <w:b/>
        </w:rPr>
        <w:t xml:space="preserve">bekräftigt der </w:t>
      </w:r>
      <w:r w:rsidR="007C7771">
        <w:rPr>
          <w:b/>
        </w:rPr>
        <w:br/>
      </w:r>
      <w:r w:rsidRPr="00DA5602">
        <w:rPr>
          <w:b/>
        </w:rPr>
        <w:t xml:space="preserve">US-amerikanische Völkerrechtler </w:t>
      </w:r>
      <w:r w:rsidR="007C7771">
        <w:rPr>
          <w:b/>
        </w:rPr>
        <w:t xml:space="preserve">Prof. </w:t>
      </w:r>
      <w:r w:rsidRPr="00DA5602">
        <w:rPr>
          <w:b/>
        </w:rPr>
        <w:t xml:space="preserve">Alfred </w:t>
      </w:r>
      <w:r w:rsidR="00DA5602" w:rsidRPr="00DA5602">
        <w:rPr>
          <w:b/>
        </w:rPr>
        <w:t xml:space="preserve">Maurice </w:t>
      </w:r>
      <w:r w:rsidRPr="00DA5602">
        <w:rPr>
          <w:b/>
        </w:rPr>
        <w:t>de Zayas</w:t>
      </w:r>
      <w:r>
        <w:t xml:space="preserve"> den fortdauernden Zustand der Völkerrechts</w:t>
      </w:r>
      <w:r w:rsidR="007C7771">
        <w:t>-</w:t>
      </w:r>
      <w:r>
        <w:t>widrigkeit, den die Vertreibung der Deutschen aus ihrer angestammten Heimat bedeutet. Auch kritisiert er vehement die heutige häufig zu hörende Behauptung, die deutschen Vertriebenen seien Täter gewesen. Dies sei Geschichtsklitterung und eine Verletzung der Menschenwürde der Vertriebenen. Gerade in Zeiten wie diesen, in denen in Politik und Medien geleugnet wird, Deutsche seien 1939 bis 1945 und darüber hinaus Opfer fremder Machtgelüste geworden, ist dieses Buch von Holger Breit notwendiger denn je. Selbst höchste Regierungsvertreter rechtfertigen die Vertreibung mit der Behauptung, die Deutschen hätten den Krieg „angezettelt“. In der Hand der jungen Generation wird es zum Korrektiv gegen Einstellungen und Einseitigkeiten in den Massenmedien, in Politik, Schule und Universität.</w:t>
      </w:r>
      <w:bookmarkStart w:id="0" w:name="_GoBack"/>
      <w:bookmarkEnd w:id="0"/>
    </w:p>
    <w:p w:rsidR="00543BEF" w:rsidRPr="00247D92" w:rsidRDefault="00543BEF" w:rsidP="00B92962">
      <w:pPr>
        <w:spacing w:after="120"/>
        <w:jc w:val="both"/>
      </w:pPr>
      <w:r>
        <w:t>K.W.</w:t>
      </w:r>
      <w:r w:rsidR="00B92962">
        <w:t xml:space="preserve"> </w:t>
      </w:r>
      <w:r>
        <w:rPr>
          <w:i/>
          <w:noProof/>
          <w:lang w:eastAsia="de-DE"/>
        </w:rPr>
        <w:t>(</w:t>
      </w:r>
      <w:r w:rsidRPr="004240A6">
        <w:rPr>
          <w:i/>
          <w:noProof/>
          <w:lang w:eastAsia="de-DE"/>
        </w:rPr>
        <w:t>Zuerst – Deutsches Nachrichtenmagazin</w:t>
      </w:r>
      <w:r>
        <w:t>)</w:t>
      </w:r>
    </w:p>
    <w:p w:rsidR="00543BEF" w:rsidRDefault="00543BEF" w:rsidP="00543BEF">
      <w:pPr>
        <w:jc w:val="both"/>
      </w:pPr>
    </w:p>
    <w:sectPr w:rsidR="00543BEF" w:rsidSect="00543BEF">
      <w:type w:val="continuous"/>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siatische Schriftart verwende">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3C40F01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D352B6"/>
    <w:multiLevelType w:val="singleLevel"/>
    <w:tmpl w:val="04070003"/>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2922138"/>
    <w:multiLevelType w:val="hybridMultilevel"/>
    <w:tmpl w:val="87EE1DD4"/>
    <w:lvl w:ilvl="0" w:tplc="08EEF528">
      <w:start w:val="400"/>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1FE261B"/>
    <w:multiLevelType w:val="hybridMultilevel"/>
    <w:tmpl w:val="B9E4CF8A"/>
    <w:lvl w:ilvl="0" w:tplc="85C0B744">
      <w:start w:val="5"/>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865059E"/>
    <w:multiLevelType w:val="hybridMultilevel"/>
    <w:tmpl w:val="8B025CA8"/>
    <w:lvl w:ilvl="0" w:tplc="2C703B8A">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842"/>
    <w:rsid w:val="00004842"/>
    <w:rsid w:val="000051BE"/>
    <w:rsid w:val="00025F3E"/>
    <w:rsid w:val="00035CC9"/>
    <w:rsid w:val="00043FEB"/>
    <w:rsid w:val="00052460"/>
    <w:rsid w:val="00077477"/>
    <w:rsid w:val="00081F4A"/>
    <w:rsid w:val="000B7338"/>
    <w:rsid w:val="000F26F4"/>
    <w:rsid w:val="00193629"/>
    <w:rsid w:val="001A4767"/>
    <w:rsid w:val="001D53B9"/>
    <w:rsid w:val="001E2196"/>
    <w:rsid w:val="001E3306"/>
    <w:rsid w:val="001F56F8"/>
    <w:rsid w:val="00214520"/>
    <w:rsid w:val="00235D91"/>
    <w:rsid w:val="00247D92"/>
    <w:rsid w:val="00291A31"/>
    <w:rsid w:val="002E32BB"/>
    <w:rsid w:val="00330C87"/>
    <w:rsid w:val="003329FF"/>
    <w:rsid w:val="00333166"/>
    <w:rsid w:val="00336385"/>
    <w:rsid w:val="003404CC"/>
    <w:rsid w:val="0034105A"/>
    <w:rsid w:val="00342B8E"/>
    <w:rsid w:val="0035180F"/>
    <w:rsid w:val="00377953"/>
    <w:rsid w:val="003B0147"/>
    <w:rsid w:val="003C1F5A"/>
    <w:rsid w:val="00423F21"/>
    <w:rsid w:val="004452A2"/>
    <w:rsid w:val="00491A80"/>
    <w:rsid w:val="004B4CEC"/>
    <w:rsid w:val="004C326F"/>
    <w:rsid w:val="004C3B52"/>
    <w:rsid w:val="004E6FD7"/>
    <w:rsid w:val="00530560"/>
    <w:rsid w:val="005357E8"/>
    <w:rsid w:val="00543BEF"/>
    <w:rsid w:val="0055230F"/>
    <w:rsid w:val="00556FCC"/>
    <w:rsid w:val="00563823"/>
    <w:rsid w:val="005D35DA"/>
    <w:rsid w:val="005D7F03"/>
    <w:rsid w:val="005F4659"/>
    <w:rsid w:val="0061282D"/>
    <w:rsid w:val="0062057D"/>
    <w:rsid w:val="00620C17"/>
    <w:rsid w:val="00620C65"/>
    <w:rsid w:val="00621A36"/>
    <w:rsid w:val="00624223"/>
    <w:rsid w:val="00680569"/>
    <w:rsid w:val="00682B8D"/>
    <w:rsid w:val="006932D1"/>
    <w:rsid w:val="006B3A3D"/>
    <w:rsid w:val="006C035D"/>
    <w:rsid w:val="006E76A6"/>
    <w:rsid w:val="006F5E60"/>
    <w:rsid w:val="00702934"/>
    <w:rsid w:val="00750C18"/>
    <w:rsid w:val="00782C1B"/>
    <w:rsid w:val="00786978"/>
    <w:rsid w:val="00791D92"/>
    <w:rsid w:val="007B6E4C"/>
    <w:rsid w:val="007C7771"/>
    <w:rsid w:val="007D58A7"/>
    <w:rsid w:val="007E5476"/>
    <w:rsid w:val="007F054C"/>
    <w:rsid w:val="007F7239"/>
    <w:rsid w:val="00857995"/>
    <w:rsid w:val="008737AC"/>
    <w:rsid w:val="008768A6"/>
    <w:rsid w:val="008A5640"/>
    <w:rsid w:val="008A6230"/>
    <w:rsid w:val="008E0B92"/>
    <w:rsid w:val="008F6D9B"/>
    <w:rsid w:val="009942C9"/>
    <w:rsid w:val="009A3573"/>
    <w:rsid w:val="009A421F"/>
    <w:rsid w:val="009B6BC8"/>
    <w:rsid w:val="009B7E10"/>
    <w:rsid w:val="009D0D31"/>
    <w:rsid w:val="009D37B8"/>
    <w:rsid w:val="009E05D1"/>
    <w:rsid w:val="00A0374E"/>
    <w:rsid w:val="00A174A4"/>
    <w:rsid w:val="00A26A20"/>
    <w:rsid w:val="00A74136"/>
    <w:rsid w:val="00A76B0E"/>
    <w:rsid w:val="00A90252"/>
    <w:rsid w:val="00AD0BF0"/>
    <w:rsid w:val="00B036DA"/>
    <w:rsid w:val="00B055BA"/>
    <w:rsid w:val="00B564E3"/>
    <w:rsid w:val="00B568E5"/>
    <w:rsid w:val="00B6206B"/>
    <w:rsid w:val="00B739B3"/>
    <w:rsid w:val="00B75013"/>
    <w:rsid w:val="00B80B09"/>
    <w:rsid w:val="00B92962"/>
    <w:rsid w:val="00BC7837"/>
    <w:rsid w:val="00BE0210"/>
    <w:rsid w:val="00BE714A"/>
    <w:rsid w:val="00C417BB"/>
    <w:rsid w:val="00C644A0"/>
    <w:rsid w:val="00C66867"/>
    <w:rsid w:val="00C763DE"/>
    <w:rsid w:val="00C8075E"/>
    <w:rsid w:val="00C9081D"/>
    <w:rsid w:val="00CC6ED0"/>
    <w:rsid w:val="00D15DA2"/>
    <w:rsid w:val="00D32AAD"/>
    <w:rsid w:val="00D63628"/>
    <w:rsid w:val="00DA5602"/>
    <w:rsid w:val="00E370A2"/>
    <w:rsid w:val="00E45696"/>
    <w:rsid w:val="00E60A4D"/>
    <w:rsid w:val="00E8165D"/>
    <w:rsid w:val="00E83C0B"/>
    <w:rsid w:val="00ED2B32"/>
    <w:rsid w:val="00F259CC"/>
    <w:rsid w:val="00F479A8"/>
    <w:rsid w:val="00F514C9"/>
    <w:rsid w:val="00FA2CB7"/>
    <w:rsid w:val="00FA48DA"/>
    <w:rsid w:val="00FF46BE"/>
    <w:rsid w:val="00FF7C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1765131-226A-4AF3-8D69-D67E50092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04842"/>
    <w:rPr>
      <w:rFonts w:eastAsia="Times New Roman"/>
      <w:lang w:eastAsia="zh-CN"/>
    </w:rPr>
  </w:style>
  <w:style w:type="paragraph" w:styleId="berschrift4">
    <w:name w:val="heading 4"/>
    <w:basedOn w:val="Standard"/>
    <w:next w:val="Standard"/>
    <w:link w:val="berschrift4Zchn"/>
    <w:qFormat/>
    <w:rsid w:val="00004842"/>
    <w:pPr>
      <w:keepNext/>
      <w:tabs>
        <w:tab w:val="left" w:pos="284"/>
      </w:tabs>
      <w:ind w:left="284" w:hanging="284"/>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22">
    <w:name w:val="Formatvorlage22"/>
    <w:basedOn w:val="Funotentext"/>
    <w:autoRedefine/>
    <w:rsid w:val="003329FF"/>
    <w:rPr>
      <w:sz w:val="19"/>
    </w:rPr>
  </w:style>
  <w:style w:type="paragraph" w:styleId="Funotentext">
    <w:name w:val="footnote text"/>
    <w:basedOn w:val="Standard"/>
    <w:autoRedefine/>
    <w:semiHidden/>
    <w:rsid w:val="003329FF"/>
    <w:pPr>
      <w:widowControl w:val="0"/>
      <w:tabs>
        <w:tab w:val="left" w:pos="284"/>
      </w:tabs>
      <w:spacing w:after="60" w:line="240" w:lineRule="exact"/>
      <w:ind w:left="142" w:hanging="142"/>
      <w:jc w:val="both"/>
    </w:pPr>
    <w:rPr>
      <w:lang w:eastAsia="de-DE"/>
    </w:rPr>
  </w:style>
  <w:style w:type="paragraph" w:customStyle="1" w:styleId="FormatvorlageFunotentext">
    <w:name w:val="Formatvorlage Fußnotentext"/>
    <w:basedOn w:val="Funotentext"/>
    <w:rsid w:val="003329FF"/>
    <w:rPr>
      <w:iCs/>
      <w:sz w:val="19"/>
      <w:szCs w:val="19"/>
    </w:rPr>
  </w:style>
  <w:style w:type="paragraph" w:customStyle="1" w:styleId="Formatvorlage21">
    <w:name w:val="Formatvorlage21"/>
    <w:basedOn w:val="Funotentext"/>
    <w:autoRedefine/>
    <w:rsid w:val="003329FF"/>
    <w:rPr>
      <w:sz w:val="19"/>
      <w:szCs w:val="21"/>
    </w:rPr>
  </w:style>
  <w:style w:type="paragraph" w:customStyle="1" w:styleId="FormatvorlageFunotentext01">
    <w:name w:val="Formatvorlage Fußnotentext 01"/>
    <w:basedOn w:val="Funotentext"/>
    <w:autoRedefine/>
    <w:rsid w:val="00342B8E"/>
    <w:pPr>
      <w:ind w:left="0" w:firstLine="0"/>
    </w:pPr>
    <w:rPr>
      <w:color w:val="000000"/>
      <w:sz w:val="23"/>
      <w:szCs w:val="23"/>
      <w:vertAlign w:val="superscript"/>
    </w:rPr>
  </w:style>
  <w:style w:type="character" w:customStyle="1" w:styleId="FormatvorlageFunotenzeichen105ptSchwarz">
    <w:name w:val="Formatvorlage Fußnotenzeichen + 105 pt Schwarz"/>
    <w:rsid w:val="003329FF"/>
    <w:rPr>
      <w:rFonts w:ascii="Times New Roman" w:hAnsi="Times New Roman"/>
      <w:color w:val="000000"/>
      <w:sz w:val="23"/>
      <w:szCs w:val="21"/>
      <w:vertAlign w:val="superscript"/>
    </w:rPr>
  </w:style>
  <w:style w:type="character" w:styleId="Funotenzeichen">
    <w:name w:val="footnote reference"/>
    <w:semiHidden/>
    <w:rsid w:val="003329FF"/>
    <w:rPr>
      <w:vertAlign w:val="superscript"/>
    </w:rPr>
  </w:style>
  <w:style w:type="paragraph" w:styleId="Verzeichnis1">
    <w:name w:val="toc 1"/>
    <w:basedOn w:val="Standard"/>
    <w:next w:val="Standard"/>
    <w:autoRedefine/>
    <w:rsid w:val="00F479A8"/>
    <w:pPr>
      <w:tabs>
        <w:tab w:val="right" w:leader="dot" w:pos="7371"/>
        <w:tab w:val="right" w:leader="dot" w:pos="8505"/>
      </w:tabs>
      <w:spacing w:before="120" w:after="60" w:line="260" w:lineRule="exact"/>
      <w:ind w:left="283" w:right="284" w:hanging="28"/>
    </w:pPr>
    <w:rPr>
      <w:bCs/>
      <w:noProof/>
      <w:lang w:eastAsia="de-DE"/>
    </w:rPr>
  </w:style>
  <w:style w:type="character" w:customStyle="1" w:styleId="FormatvorlageFunotenzeichen115pt">
    <w:name w:val="Formatvorlage Fußnotenzeichen + 115 pt"/>
    <w:rsid w:val="00342B8E"/>
    <w:rPr>
      <w:b/>
      <w:sz w:val="24"/>
      <w:vertAlign w:val="superscript"/>
    </w:rPr>
  </w:style>
  <w:style w:type="character" w:customStyle="1" w:styleId="aFormatvorlageFunotentext">
    <w:name w:val="a Formatvorlage Fußnotentext"/>
    <w:rsid w:val="00F259CC"/>
    <w:rPr>
      <w:rFonts w:ascii="Times New Roman" w:hAnsi="Times New Roman"/>
      <w:iCs/>
      <w:color w:val="000000"/>
      <w:sz w:val="20"/>
      <w:szCs w:val="20"/>
      <w:lang w:val="de-DE" w:eastAsia="de-DE" w:bidi="ar-SA"/>
    </w:rPr>
  </w:style>
  <w:style w:type="paragraph" w:customStyle="1" w:styleId="FormatvorlageOS">
    <w:name w:val="Formatvorlage OS"/>
    <w:basedOn w:val="Standard"/>
    <w:rsid w:val="00F259CC"/>
    <w:pPr>
      <w:widowControl w:val="0"/>
      <w:snapToGrid w:val="0"/>
      <w:spacing w:after="14" w:line="240" w:lineRule="exact"/>
    </w:pPr>
    <w:rPr>
      <w:noProof/>
      <w:sz w:val="23"/>
      <w:lang w:eastAsia="de-DE"/>
    </w:rPr>
  </w:style>
  <w:style w:type="paragraph" w:customStyle="1" w:styleId="Formatvorlage2">
    <w:name w:val="Formatvorlage2"/>
    <w:basedOn w:val="Standard"/>
    <w:link w:val="Formatvorlage2Zchn"/>
    <w:rsid w:val="00004842"/>
    <w:pPr>
      <w:widowControl w:val="0"/>
      <w:tabs>
        <w:tab w:val="left" w:pos="1418"/>
        <w:tab w:val="left" w:pos="7371"/>
        <w:tab w:val="right" w:leader="dot" w:pos="8222"/>
      </w:tabs>
      <w:spacing w:before="20" w:after="60" w:line="280" w:lineRule="exact"/>
      <w:ind w:firstLine="284"/>
      <w:jc w:val="both"/>
    </w:pPr>
    <w:rPr>
      <w:rFonts w:eastAsia="SimSun"/>
      <w:sz w:val="21"/>
      <w:lang w:eastAsia="de-DE"/>
    </w:rPr>
  </w:style>
  <w:style w:type="character" w:customStyle="1" w:styleId="Formatvorlage2Zchn">
    <w:name w:val="Formatvorlage2 Zchn"/>
    <w:link w:val="Formatvorlage2"/>
    <w:rsid w:val="00004842"/>
    <w:rPr>
      <w:sz w:val="21"/>
      <w:lang w:val="de-DE" w:eastAsia="de-DE" w:bidi="ar-SA"/>
    </w:rPr>
  </w:style>
  <w:style w:type="paragraph" w:styleId="Textkrper">
    <w:name w:val="Body Text"/>
    <w:basedOn w:val="Standard"/>
    <w:rsid w:val="001A4767"/>
    <w:pPr>
      <w:jc w:val="center"/>
    </w:pPr>
    <w:rPr>
      <w:rFonts w:ascii="Arial" w:hAnsi="Arial" w:cs="Arial"/>
      <w:b/>
      <w:bCs/>
      <w:sz w:val="28"/>
      <w:szCs w:val="28"/>
    </w:rPr>
  </w:style>
  <w:style w:type="paragraph" w:styleId="Blocktext">
    <w:name w:val="Block Text"/>
    <w:basedOn w:val="Standard"/>
    <w:rsid w:val="001A4767"/>
    <w:pPr>
      <w:spacing w:after="60"/>
      <w:ind w:left="284" w:right="159"/>
      <w:jc w:val="both"/>
    </w:pPr>
  </w:style>
  <w:style w:type="paragraph" w:styleId="Verzeichnis2">
    <w:name w:val="toc 2"/>
    <w:basedOn w:val="Standard"/>
    <w:next w:val="Standard"/>
    <w:link w:val="Verzeichnis2Zchn"/>
    <w:autoRedefine/>
    <w:rsid w:val="00782C1B"/>
    <w:pPr>
      <w:tabs>
        <w:tab w:val="left" w:pos="284"/>
        <w:tab w:val="left" w:pos="426"/>
        <w:tab w:val="left" w:pos="993"/>
        <w:tab w:val="left" w:pos="1134"/>
        <w:tab w:val="right" w:leader="dot" w:pos="7371"/>
      </w:tabs>
      <w:spacing w:before="80" w:after="60" w:line="260" w:lineRule="exact"/>
    </w:pPr>
    <w:rPr>
      <w:noProof/>
      <w:lang w:eastAsia="de-DE"/>
    </w:rPr>
  </w:style>
  <w:style w:type="character" w:customStyle="1" w:styleId="Verzeichnis2Zchn">
    <w:name w:val="Verzeichnis 2 Zchn"/>
    <w:link w:val="Verzeichnis2"/>
    <w:rsid w:val="00782C1B"/>
    <w:rPr>
      <w:noProof/>
      <w:lang w:val="de-DE" w:eastAsia="de-DE" w:bidi="ar-SA"/>
    </w:rPr>
  </w:style>
  <w:style w:type="paragraph" w:styleId="Verzeichnis3">
    <w:name w:val="toc 3"/>
    <w:basedOn w:val="Standard"/>
    <w:next w:val="Standard"/>
    <w:autoRedefine/>
    <w:rsid w:val="005D35DA"/>
    <w:pPr>
      <w:tabs>
        <w:tab w:val="left" w:pos="993"/>
        <w:tab w:val="right" w:leader="dot" w:pos="7371"/>
        <w:tab w:val="right" w:leader="dot" w:pos="8505"/>
      </w:tabs>
      <w:spacing w:after="60" w:line="260" w:lineRule="exact"/>
      <w:ind w:left="181" w:right="284" w:hanging="181"/>
    </w:pPr>
    <w:rPr>
      <w:szCs w:val="23"/>
      <w:lang w:eastAsia="de-DE"/>
    </w:rPr>
  </w:style>
  <w:style w:type="paragraph" w:styleId="Verzeichnis4">
    <w:name w:val="toc 4"/>
    <w:basedOn w:val="Standard"/>
    <w:next w:val="Standard"/>
    <w:autoRedefine/>
    <w:rsid w:val="00782C1B"/>
    <w:pPr>
      <w:tabs>
        <w:tab w:val="left" w:pos="142"/>
        <w:tab w:val="left" w:pos="284"/>
        <w:tab w:val="left" w:pos="567"/>
        <w:tab w:val="left" w:pos="709"/>
        <w:tab w:val="left" w:pos="851"/>
        <w:tab w:val="left" w:pos="1701"/>
        <w:tab w:val="right" w:leader="dot" w:pos="7371"/>
        <w:tab w:val="right" w:leader="dot" w:pos="8505"/>
        <w:tab w:val="left" w:pos="8731"/>
      </w:tabs>
      <w:spacing w:after="60" w:line="240" w:lineRule="exact"/>
      <w:ind w:left="284" w:right="284"/>
    </w:pPr>
    <w:rPr>
      <w:rFonts w:ascii="(Asiatische Schriftart verwende" w:hAnsi="(Asiatische Schriftart verwende"/>
      <w:noProof/>
      <w:lang w:eastAsia="de-DE"/>
    </w:rPr>
  </w:style>
  <w:style w:type="character" w:styleId="Hyperlink">
    <w:name w:val="Hyperlink"/>
    <w:rsid w:val="00235D91"/>
    <w:rPr>
      <w:color w:val="0000FF"/>
      <w:u w:val="single"/>
    </w:rPr>
  </w:style>
  <w:style w:type="paragraph" w:styleId="Sprechblasentext">
    <w:name w:val="Balloon Text"/>
    <w:basedOn w:val="Standard"/>
    <w:link w:val="SprechblasentextZchn"/>
    <w:rsid w:val="00FA48DA"/>
    <w:rPr>
      <w:rFonts w:ascii="Segoe UI" w:hAnsi="Segoe UI" w:cs="Segoe UI"/>
      <w:sz w:val="18"/>
      <w:szCs w:val="18"/>
    </w:rPr>
  </w:style>
  <w:style w:type="character" w:customStyle="1" w:styleId="SprechblasentextZchn">
    <w:name w:val="Sprechblasentext Zchn"/>
    <w:link w:val="Sprechblasentext"/>
    <w:rsid w:val="00FA48DA"/>
    <w:rPr>
      <w:rFonts w:ascii="Segoe UI" w:eastAsia="Times New Roman" w:hAnsi="Segoe UI" w:cs="Segoe UI"/>
      <w:sz w:val="18"/>
      <w:szCs w:val="18"/>
      <w:lang w:eastAsia="zh-CN"/>
    </w:rPr>
  </w:style>
  <w:style w:type="character" w:customStyle="1" w:styleId="berschrift4Zchn">
    <w:name w:val="Überschrift 4 Zchn"/>
    <w:link w:val="berschrift4"/>
    <w:rsid w:val="004C3B52"/>
    <w:rPr>
      <w:rFonts w:eastAsia="Times New Roman"/>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521019">
      <w:bodyDiv w:val="1"/>
      <w:marLeft w:val="0"/>
      <w:marRight w:val="0"/>
      <w:marTop w:val="0"/>
      <w:marBottom w:val="0"/>
      <w:divBdr>
        <w:top w:val="none" w:sz="0" w:space="0" w:color="auto"/>
        <w:left w:val="none" w:sz="0" w:space="0" w:color="auto"/>
        <w:bottom w:val="none" w:sz="0" w:space="0" w:color="auto"/>
        <w:right w:val="none" w:sz="0" w:space="0" w:color="auto"/>
      </w:divBdr>
    </w:div>
    <w:div w:id="1802579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C83CF-2F0C-4CAD-A954-A423A17AD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714</Words>
  <Characters>4499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Wenn Sie erfahren wollen,</vt:lpstr>
    </vt:vector>
  </TitlesOfParts>
  <Company/>
  <LinksUpToDate>false</LinksUpToDate>
  <CharactersWithSpaces>5203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Wenn Sie erfahren wollen,</dc:title>
  <dc:subject/>
  <dc:creator>Holger</dc:creator>
  <cp:keywords/>
  <dc:description/>
  <cp:lastModifiedBy>Holger Breit</cp:lastModifiedBy>
  <cp:revision>4</cp:revision>
  <cp:lastPrinted>2019-06-14T07:52:00Z</cp:lastPrinted>
  <dcterms:created xsi:type="dcterms:W3CDTF">2019-06-14T07:52:00Z</dcterms:created>
  <dcterms:modified xsi:type="dcterms:W3CDTF">2019-06-14T08:03:00Z</dcterms:modified>
</cp:coreProperties>
</file>